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left"/>
      </w:pPr>
      <w:r>
        <w:rPr>
          <w:b/>
          <w:bCs/>
          <w:sz w:val="32"/>
          <w:szCs w:val="32"/>
        </w:rPr>
        <w:t xml:space="preserve">Annual budget worksheet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Category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Line item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Annual amount (EUR)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Notes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Operating - Utilities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Common electricity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2400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Lighting stairwells + garage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Operating - Utilities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Common water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1800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Landscaping + cleaning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Operating - Utilities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Heating (common)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3600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If central boiler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Operating - Maintenance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Elevator contract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2400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Annual maintenance + call-outs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Operating - Maintenance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Cleaning contract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4800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Weekly common areas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Operating - Maintenance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Landscaping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1200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Seasonal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Operating - Maintenance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Waste management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900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Common bins + collection fees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Operating - Maintenance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Pest control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300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Quarterly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Operating - Services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Syndic / manager fees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6000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Annual mandate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Operating - Services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Accounting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1200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Operating - Services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Insurance (building)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3600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Multi-risk policy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Operating - Services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Legal fund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600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Reserve for disputes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Reserve fund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Contribution to reserves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8400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Roof / facade / elevators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Contingency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Unforeseen expenses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1200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~3% of total operating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TOTAL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38400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SPLIT BY PERMILLAGE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Unit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Permillage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Annual share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Monthly share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Apt 1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120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4608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384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Apt 2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180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6912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576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Apt 3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200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7680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640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Apt 4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250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9600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800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Apt 5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250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9600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800</w:t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Total permillage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38400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3200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2026-07-24T11:45:29.258Z</dcterms:created>
  <dcterms:modified xsi:type="dcterms:W3CDTF">2026-07-24T11:45:29.258Z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